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914525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Proposition 28: Arts and Music in Schools Funding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Annual Report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Fiscal Year 2023-24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Name: Ipakanni Early College Charter School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CDS Code: 04 61507 0121509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Charter School Number: 1170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Allocation Year: 2023-24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Narrative description of the Prop 28 arts education programs(s) funded: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Ipakanni Early College Charter is currently building program specifics.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full-time equivalent teachers(certificated) in AMS funded programs: ___0__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full-time equivalent personnel (classified) in AMS funded programs: __0___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full-time equivalent teaching aides in AMS funded programs: __0___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students served in AMS funded programs: __65___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school sites providing arts education programs funded by AMS: ___1__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A5F3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A5F3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A5F3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A5F3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A5F3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A5F3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A5F3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A5F3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A5F3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A5F3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A5F3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A5F3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A5F3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A5F3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A5F3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A5F3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A5F3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A5F38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A5F3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A5F3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A5F3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A5F3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A5F3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A5F3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A5F3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A5F3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A5F3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A5F3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A5F38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Z5pquMLAj3L4Y8dikLd9DUQlKg==">CgMxLjA4AHIhMTVTOGNERVdPSUtEWEJXMV9VMkZkVGZMdk15Z2hlMFNo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2024-05-29T21:10:00Z</dcterms:created>
  <dc:creator>Jim Weber</dc:creator>
</cp:coreProperties>
</file>